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bookmarkStart w:id="0" w:name="_GoBack"/>
      <w:bookmarkEnd w:id="0"/>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7"/>
        <w:gridCol w:w="4922"/>
      </w:tblGrid>
      <w:tr w:rsidR="00A160B2" w14:paraId="3E9231EB" w14:textId="77777777" w:rsidTr="00866C76">
        <w:trPr>
          <w:tblHeader/>
        </w:trPr>
        <w:tc>
          <w:tcPr>
            <w:tcW w:w="3456" w:type="dxa"/>
            <w:tcBorders>
              <w:bottom w:val="single" w:sz="18" w:space="0" w:color="auto"/>
            </w:tcBorders>
          </w:tcPr>
          <w:p w14:paraId="2EDC0AA9" w14:textId="77777777" w:rsidR="00A160B2" w:rsidRPr="00B805DB" w:rsidRDefault="00A160B2" w:rsidP="00866C76">
            <w:pPr>
              <w:pStyle w:val="Heading1"/>
              <w:spacing w:after="240"/>
              <w:outlineLvl w:val="0"/>
            </w:pPr>
            <w:r>
              <w:t>Report f</w:t>
            </w:r>
            <w:r w:rsidRPr="00C869F3">
              <w:t>or:</w:t>
            </w:r>
          </w:p>
        </w:tc>
        <w:tc>
          <w:tcPr>
            <w:tcW w:w="5054" w:type="dxa"/>
            <w:tcBorders>
              <w:bottom w:val="single" w:sz="18" w:space="0" w:color="auto"/>
            </w:tcBorders>
          </w:tcPr>
          <w:p w14:paraId="55A88F66" w14:textId="21F89BF2" w:rsidR="00A160B2" w:rsidRPr="00CA2FBC" w:rsidRDefault="006C2FA8" w:rsidP="001C6AD4">
            <w:pPr>
              <w:pStyle w:val="Heading1"/>
              <w:outlineLvl w:val="0"/>
            </w:pPr>
            <w:r>
              <w:t>Council</w:t>
            </w:r>
            <w:r w:rsidR="00A160B2">
              <w:t xml:space="preserve"> </w:t>
            </w:r>
          </w:p>
        </w:tc>
      </w:tr>
      <w:tr w:rsidR="00A160B2" w14:paraId="5281F5A9" w14:textId="77777777" w:rsidTr="00866C76">
        <w:tc>
          <w:tcPr>
            <w:tcW w:w="3456" w:type="dxa"/>
            <w:tcBorders>
              <w:top w:val="single" w:sz="18" w:space="0" w:color="auto"/>
            </w:tcBorders>
          </w:tcPr>
          <w:p w14:paraId="0991D380" w14:textId="77777777" w:rsidR="00A160B2" w:rsidRPr="00F92398" w:rsidRDefault="00A160B2" w:rsidP="00866C76">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866C76">
            <w:pPr>
              <w:pStyle w:val="Infotext"/>
              <w:rPr>
                <w:rFonts w:ascii="Arial Black" w:hAnsi="Arial Black" w:cs="Arial"/>
              </w:rPr>
            </w:pPr>
          </w:p>
        </w:tc>
        <w:tc>
          <w:tcPr>
            <w:tcW w:w="5054" w:type="dxa"/>
            <w:tcBorders>
              <w:top w:val="single" w:sz="18" w:space="0" w:color="auto"/>
            </w:tcBorders>
          </w:tcPr>
          <w:p w14:paraId="495EBCE8" w14:textId="47D9F34B" w:rsidR="00A160B2" w:rsidRDefault="006B0854" w:rsidP="00866C76">
            <w:pPr>
              <w:pStyle w:val="Infotext"/>
              <w:rPr>
                <w:rFonts w:cs="Arial"/>
              </w:rPr>
            </w:pPr>
            <w:r>
              <w:rPr>
                <w:rFonts w:cs="Arial"/>
              </w:rPr>
              <w:t>30 September 2021</w:t>
            </w:r>
          </w:p>
        </w:tc>
      </w:tr>
      <w:tr w:rsidR="00A160B2" w14:paraId="79B879D4" w14:textId="77777777" w:rsidTr="00866C76">
        <w:tc>
          <w:tcPr>
            <w:tcW w:w="3456" w:type="dxa"/>
          </w:tcPr>
          <w:p w14:paraId="5EBA2504" w14:textId="77777777" w:rsidR="00A160B2" w:rsidRPr="00F92398" w:rsidRDefault="00A160B2" w:rsidP="00866C76">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866C76">
            <w:pPr>
              <w:pStyle w:val="Infotext"/>
              <w:rPr>
                <w:rFonts w:ascii="Arial Black" w:hAnsi="Arial Black"/>
              </w:rPr>
            </w:pPr>
          </w:p>
        </w:tc>
        <w:tc>
          <w:tcPr>
            <w:tcW w:w="5054" w:type="dxa"/>
          </w:tcPr>
          <w:p w14:paraId="13E4C69C" w14:textId="77777777" w:rsidR="003600C4" w:rsidRPr="003600C4" w:rsidRDefault="003600C4" w:rsidP="003600C4">
            <w:pPr>
              <w:rPr>
                <w:rFonts w:ascii="Arial Black" w:hAnsi="Arial Black" w:cs="Arial"/>
                <w:sz w:val="28"/>
              </w:rPr>
            </w:pPr>
            <w:r w:rsidRPr="003600C4">
              <w:rPr>
                <w:rFonts w:ascii="Arial Black" w:hAnsi="Arial Black" w:cs="Arial"/>
                <w:sz w:val="28"/>
              </w:rPr>
              <w:t xml:space="preserve">INFORMATION REPORT – </w:t>
            </w:r>
          </w:p>
          <w:p w14:paraId="4AA4110F" w14:textId="77777777" w:rsidR="003600C4" w:rsidRPr="003600C4" w:rsidRDefault="003600C4" w:rsidP="003600C4">
            <w:pPr>
              <w:rPr>
                <w:b/>
                <w:sz w:val="28"/>
                <w:szCs w:val="28"/>
              </w:rPr>
            </w:pPr>
            <w:r w:rsidRPr="003600C4">
              <w:rPr>
                <w:b/>
                <w:sz w:val="28"/>
                <w:szCs w:val="28"/>
              </w:rPr>
              <w:t>Remuneration packages and severance payments of £100,000 or greater</w:t>
            </w:r>
          </w:p>
          <w:p w14:paraId="5914456E" w14:textId="77777777" w:rsidR="00A160B2" w:rsidRDefault="00A160B2" w:rsidP="00866C76">
            <w:pPr>
              <w:pStyle w:val="Infotext"/>
              <w:rPr>
                <w:rFonts w:cs="Arial"/>
              </w:rPr>
            </w:pPr>
          </w:p>
        </w:tc>
      </w:tr>
      <w:tr w:rsidR="00A160B2" w14:paraId="3A5E0F07" w14:textId="77777777" w:rsidTr="00866C76">
        <w:tc>
          <w:tcPr>
            <w:tcW w:w="3456" w:type="dxa"/>
          </w:tcPr>
          <w:p w14:paraId="3526B74C" w14:textId="77777777" w:rsidR="00A160B2" w:rsidRPr="00F92398" w:rsidRDefault="00A160B2" w:rsidP="00866C76">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866C76">
            <w:pPr>
              <w:pStyle w:val="Infotext"/>
              <w:rPr>
                <w:rFonts w:ascii="Arial Black" w:hAnsi="Arial Black" w:cs="Arial"/>
              </w:rPr>
            </w:pPr>
          </w:p>
        </w:tc>
        <w:tc>
          <w:tcPr>
            <w:tcW w:w="5054" w:type="dxa"/>
          </w:tcPr>
          <w:p w14:paraId="63C5F91B" w14:textId="253BB1F4" w:rsidR="00A160B2" w:rsidRDefault="003600C4" w:rsidP="00866C76">
            <w:pPr>
              <w:pStyle w:val="Infotext"/>
              <w:rPr>
                <w:rFonts w:cs="Arial"/>
              </w:rPr>
            </w:pPr>
            <w:r>
              <w:rPr>
                <w:rFonts w:cs="Arial"/>
              </w:rPr>
              <w:t>Tracey Connage, Director of HR&amp;OD</w:t>
            </w:r>
          </w:p>
          <w:p w14:paraId="3CF266C9" w14:textId="77777777" w:rsidR="00A160B2" w:rsidRDefault="00A160B2" w:rsidP="00866C76">
            <w:pPr>
              <w:pStyle w:val="Infotext"/>
              <w:rPr>
                <w:rFonts w:cs="Arial"/>
              </w:rPr>
            </w:pPr>
          </w:p>
        </w:tc>
      </w:tr>
      <w:tr w:rsidR="00A160B2" w14:paraId="7AFCAE74" w14:textId="77777777" w:rsidTr="00866C76">
        <w:tc>
          <w:tcPr>
            <w:tcW w:w="3456" w:type="dxa"/>
          </w:tcPr>
          <w:p w14:paraId="4573497F" w14:textId="77777777" w:rsidR="00A160B2" w:rsidRPr="00F92398" w:rsidRDefault="00A160B2" w:rsidP="00866C76">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866C76">
            <w:pPr>
              <w:pStyle w:val="Infotext"/>
              <w:rPr>
                <w:rFonts w:ascii="Arial Black" w:hAnsi="Arial Black" w:cs="Arial"/>
              </w:rPr>
            </w:pPr>
          </w:p>
        </w:tc>
        <w:tc>
          <w:tcPr>
            <w:tcW w:w="5054" w:type="dxa"/>
          </w:tcPr>
          <w:p w14:paraId="59543FB3" w14:textId="01BE13B0" w:rsidR="00A160B2" w:rsidRDefault="001A4CB5" w:rsidP="005D3DF8">
            <w:pPr>
              <w:pStyle w:val="Infotext"/>
            </w:pPr>
            <w:r>
              <w:t>No</w:t>
            </w:r>
          </w:p>
          <w:p w14:paraId="4C873B59" w14:textId="3E944628" w:rsidR="009E7069" w:rsidRDefault="009E7069" w:rsidP="005D3DF8">
            <w:pPr>
              <w:pStyle w:val="Infotext"/>
              <w:rPr>
                <w:rFonts w:cs="Arial"/>
              </w:rPr>
            </w:pPr>
          </w:p>
        </w:tc>
      </w:tr>
      <w:tr w:rsidR="00A160B2" w14:paraId="521D9222" w14:textId="77777777" w:rsidTr="00866C76">
        <w:tc>
          <w:tcPr>
            <w:tcW w:w="3456" w:type="dxa"/>
          </w:tcPr>
          <w:p w14:paraId="4ABD9246" w14:textId="77777777" w:rsidR="00A160B2" w:rsidRDefault="00A160B2" w:rsidP="00866C76">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866C76">
            <w:pPr>
              <w:pStyle w:val="Infotext"/>
              <w:rPr>
                <w:rFonts w:ascii="Arial Black" w:hAnsi="Arial Black" w:cs="Arial"/>
              </w:rPr>
            </w:pPr>
          </w:p>
        </w:tc>
        <w:tc>
          <w:tcPr>
            <w:tcW w:w="5054" w:type="dxa"/>
          </w:tcPr>
          <w:p w14:paraId="7B906090" w14:textId="10FEC91A" w:rsidR="00A160B2" w:rsidRDefault="00E0057C" w:rsidP="00866C76">
            <w:pPr>
              <w:pStyle w:val="Infotext"/>
              <w:rPr>
                <w:rFonts w:cs="Arial"/>
                <w:szCs w:val="24"/>
              </w:rPr>
            </w:pPr>
            <w:r>
              <w:rPr>
                <w:rFonts w:cs="Arial"/>
                <w:szCs w:val="24"/>
              </w:rPr>
              <w:t>N/a</w:t>
            </w:r>
          </w:p>
          <w:p w14:paraId="6CD568AC" w14:textId="097B9E20" w:rsidR="00A160B2" w:rsidRDefault="00A160B2" w:rsidP="00866C76">
            <w:pPr>
              <w:pStyle w:val="Infotext"/>
            </w:pPr>
          </w:p>
        </w:tc>
      </w:tr>
      <w:tr w:rsidR="00A160B2" w14:paraId="7C35C184" w14:textId="77777777" w:rsidTr="00866C76">
        <w:tc>
          <w:tcPr>
            <w:tcW w:w="3456" w:type="dxa"/>
          </w:tcPr>
          <w:p w14:paraId="537C01BC" w14:textId="77777777" w:rsidR="00A160B2" w:rsidRPr="00F92398" w:rsidRDefault="00A160B2" w:rsidP="00866C76">
            <w:pPr>
              <w:pStyle w:val="Infotext"/>
              <w:rPr>
                <w:rFonts w:ascii="Arial Black" w:hAnsi="Arial Black" w:cs="Arial"/>
              </w:rPr>
            </w:pPr>
          </w:p>
          <w:p w14:paraId="575B6BE7" w14:textId="77777777" w:rsidR="00A160B2" w:rsidRPr="00F92398" w:rsidRDefault="00A160B2" w:rsidP="00866C76">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866C76">
            <w:pPr>
              <w:pStyle w:val="Infotext"/>
              <w:rPr>
                <w:rFonts w:ascii="Arial Black" w:hAnsi="Arial Black" w:cs="Arial"/>
              </w:rPr>
            </w:pPr>
          </w:p>
        </w:tc>
        <w:tc>
          <w:tcPr>
            <w:tcW w:w="5054" w:type="dxa"/>
          </w:tcPr>
          <w:p w14:paraId="71119F8F" w14:textId="77777777" w:rsidR="00A160B2" w:rsidRDefault="00A160B2" w:rsidP="00866C76">
            <w:pPr>
              <w:pStyle w:val="Infotext"/>
            </w:pPr>
          </w:p>
          <w:p w14:paraId="4C232B02" w14:textId="5D080C95" w:rsidR="00A160B2" w:rsidRDefault="001A4CB5" w:rsidP="001A4CB5">
            <w:r>
              <w:rPr>
                <w:rFonts w:cs="Arial"/>
                <w:szCs w:val="24"/>
              </w:rPr>
              <w:t>None</w:t>
            </w:r>
          </w:p>
        </w:tc>
      </w:tr>
      <w:tr w:rsidR="00A160B2" w14:paraId="576A8326" w14:textId="77777777" w:rsidTr="00866C76">
        <w:tc>
          <w:tcPr>
            <w:tcW w:w="3456" w:type="dxa"/>
          </w:tcPr>
          <w:p w14:paraId="083D62A1" w14:textId="77777777" w:rsidR="00A160B2" w:rsidRPr="00F92398" w:rsidRDefault="00A160B2" w:rsidP="00866C76">
            <w:pPr>
              <w:pStyle w:val="Infotext"/>
              <w:rPr>
                <w:rFonts w:ascii="Arial Black" w:hAnsi="Arial Black" w:cs="Arial"/>
              </w:rPr>
            </w:pPr>
          </w:p>
        </w:tc>
        <w:tc>
          <w:tcPr>
            <w:tcW w:w="5054" w:type="dxa"/>
          </w:tcPr>
          <w:p w14:paraId="35FD747C" w14:textId="77777777" w:rsidR="00A160B2" w:rsidRDefault="00A160B2" w:rsidP="00866C76">
            <w:pPr>
              <w:pStyle w:val="Infotext"/>
              <w:rPr>
                <w:rFonts w:cs="Arial"/>
              </w:rPr>
            </w:pPr>
          </w:p>
        </w:tc>
      </w:tr>
      <w:tr w:rsidR="00A160B2" w14:paraId="055EE389" w14:textId="77777777" w:rsidTr="00866C76">
        <w:tc>
          <w:tcPr>
            <w:tcW w:w="3456" w:type="dxa"/>
          </w:tcPr>
          <w:p w14:paraId="378D9B11" w14:textId="77777777" w:rsidR="00A160B2" w:rsidRPr="00F92398" w:rsidRDefault="00A160B2" w:rsidP="00866C76">
            <w:pPr>
              <w:pStyle w:val="Infotext"/>
              <w:rPr>
                <w:rFonts w:ascii="Arial Black" w:hAnsi="Arial Black"/>
              </w:rPr>
            </w:pPr>
          </w:p>
        </w:tc>
        <w:tc>
          <w:tcPr>
            <w:tcW w:w="5054" w:type="dxa"/>
          </w:tcPr>
          <w:p w14:paraId="4E82A774" w14:textId="77777777" w:rsidR="00A160B2" w:rsidRDefault="00A160B2" w:rsidP="00866C76">
            <w:pPr>
              <w:pStyle w:val="Infotext"/>
              <w:rPr>
                <w:rFonts w:cs="Arial"/>
              </w:rPr>
            </w:pPr>
          </w:p>
        </w:tc>
      </w:tr>
      <w:tr w:rsidR="00A160B2" w14:paraId="3F1219AE" w14:textId="77777777" w:rsidTr="00866C76">
        <w:tc>
          <w:tcPr>
            <w:tcW w:w="3456" w:type="dxa"/>
          </w:tcPr>
          <w:p w14:paraId="097D2FFB" w14:textId="77777777" w:rsidR="00A160B2" w:rsidRPr="00F92398" w:rsidRDefault="00A160B2" w:rsidP="00866C76">
            <w:pPr>
              <w:pStyle w:val="Infotext"/>
              <w:rPr>
                <w:rFonts w:ascii="Arial Black" w:hAnsi="Arial Black" w:cs="Arial"/>
              </w:rPr>
            </w:pPr>
          </w:p>
        </w:tc>
        <w:tc>
          <w:tcPr>
            <w:tcW w:w="5054" w:type="dxa"/>
          </w:tcPr>
          <w:p w14:paraId="65B72BA4" w14:textId="77777777" w:rsidR="00A160B2" w:rsidRDefault="00A160B2" w:rsidP="00866C76">
            <w:pPr>
              <w:pStyle w:val="Infotext"/>
              <w:rPr>
                <w:rFonts w:cs="Arial"/>
              </w:rPr>
            </w:pPr>
          </w:p>
        </w:tc>
      </w:tr>
    </w:tbl>
    <w:tbl>
      <w:tblPr>
        <w:tblW w:w="9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108"/>
        <w:gridCol w:w="8309"/>
        <w:gridCol w:w="667"/>
      </w:tblGrid>
      <w:tr w:rsidR="00A160B2" w14:paraId="332F8595" w14:textId="77777777" w:rsidTr="00C27FF5">
        <w:trPr>
          <w:gridBefore w:val="1"/>
          <w:gridAfter w:val="1"/>
          <w:wBefore w:w="108" w:type="dxa"/>
          <w:wAfter w:w="667" w:type="dxa"/>
          <w:tblHeader/>
        </w:trPr>
        <w:tc>
          <w:tcPr>
            <w:tcW w:w="8309" w:type="dxa"/>
            <w:tcBorders>
              <w:top w:val="nil"/>
              <w:left w:val="nil"/>
              <w:bottom w:val="single" w:sz="4" w:space="0" w:color="auto"/>
              <w:right w:val="nil"/>
            </w:tcBorders>
          </w:tcPr>
          <w:p w14:paraId="47AF8288" w14:textId="564EE228" w:rsidR="00A160B2" w:rsidRDefault="00A160B2" w:rsidP="00912904">
            <w:pPr>
              <w:pStyle w:val="Heading2"/>
              <w:spacing w:before="240" w:after="240"/>
            </w:pPr>
            <w:r>
              <w:t xml:space="preserve">Section 1 – Summary </w:t>
            </w:r>
          </w:p>
        </w:tc>
      </w:tr>
      <w:tr w:rsidR="00C27FF5" w:rsidRPr="0051745E" w14:paraId="7547CAB0" w14:textId="77777777" w:rsidTr="00C27FF5">
        <w:tc>
          <w:tcPr>
            <w:tcW w:w="9084" w:type="dxa"/>
            <w:gridSpan w:val="3"/>
          </w:tcPr>
          <w:p w14:paraId="5E37AA29" w14:textId="77777777" w:rsidR="00C27FF5" w:rsidRDefault="00C27FF5" w:rsidP="00C27FF5"/>
          <w:p w14:paraId="1887DA36" w14:textId="09D0BEBC" w:rsidR="00C27FF5" w:rsidRDefault="00C27FF5" w:rsidP="00C27FF5">
            <w:pPr>
              <w:rPr>
                <w:rFonts w:cs="Arial"/>
                <w:szCs w:val="24"/>
              </w:rPr>
            </w:pPr>
            <w:r>
              <w:t xml:space="preserve">This report sets out a summary </w:t>
            </w:r>
            <w:r>
              <w:rPr>
                <w:rFonts w:cs="Arial"/>
                <w:szCs w:val="24"/>
              </w:rPr>
              <w:t>of the</w:t>
            </w:r>
            <w:r w:rsidRPr="004969A4">
              <w:rPr>
                <w:szCs w:val="24"/>
              </w:rPr>
              <w:t xml:space="preserve"> </w:t>
            </w:r>
            <w:r>
              <w:rPr>
                <w:szCs w:val="24"/>
              </w:rPr>
              <w:t xml:space="preserve">latest </w:t>
            </w:r>
            <w:r w:rsidRPr="004969A4">
              <w:rPr>
                <w:szCs w:val="24"/>
              </w:rPr>
              <w:t xml:space="preserve">remuneration </w:t>
            </w:r>
            <w:r w:rsidR="00DD00AC">
              <w:rPr>
                <w:szCs w:val="24"/>
              </w:rPr>
              <w:t xml:space="preserve">and severance </w:t>
            </w:r>
            <w:r w:rsidRPr="004969A4">
              <w:rPr>
                <w:szCs w:val="24"/>
              </w:rPr>
              <w:t>package</w:t>
            </w:r>
            <w:r>
              <w:rPr>
                <w:szCs w:val="24"/>
              </w:rPr>
              <w:t>s</w:t>
            </w:r>
            <w:r w:rsidRPr="004969A4">
              <w:rPr>
                <w:szCs w:val="24"/>
              </w:rPr>
              <w:t xml:space="preserve"> amount</w:t>
            </w:r>
            <w:r>
              <w:rPr>
                <w:szCs w:val="24"/>
              </w:rPr>
              <w:t>ing</w:t>
            </w:r>
            <w:r w:rsidRPr="004969A4">
              <w:rPr>
                <w:szCs w:val="24"/>
              </w:rPr>
              <w:t xml:space="preserve"> to £100,000 or greater</w:t>
            </w:r>
            <w:r>
              <w:rPr>
                <w:rFonts w:cs="Arial"/>
                <w:szCs w:val="24"/>
              </w:rPr>
              <w:t xml:space="preserve"> approved by the </w:t>
            </w:r>
            <w:bookmarkStart w:id="1" w:name="_Hlk82595854"/>
            <w:r>
              <w:rPr>
                <w:rFonts w:cs="Arial"/>
                <w:szCs w:val="24"/>
              </w:rPr>
              <w:t>Chief Officers’ Employment Panel</w:t>
            </w:r>
            <w:bookmarkEnd w:id="1"/>
            <w:r>
              <w:rPr>
                <w:rFonts w:cs="Arial"/>
                <w:szCs w:val="24"/>
              </w:rPr>
              <w:t>.</w:t>
            </w:r>
          </w:p>
          <w:p w14:paraId="2ECB1200" w14:textId="77777777" w:rsidR="00C27FF5" w:rsidRDefault="00C27FF5" w:rsidP="00C27FF5">
            <w:pPr>
              <w:rPr>
                <w:rFonts w:cs="Arial"/>
              </w:rPr>
            </w:pPr>
          </w:p>
          <w:p w14:paraId="3BC222A5" w14:textId="77777777" w:rsidR="001A4CB5" w:rsidRDefault="001A4CB5" w:rsidP="00C27FF5">
            <w:pPr>
              <w:rPr>
                <w:rFonts w:cs="Arial"/>
                <w:b/>
              </w:rPr>
            </w:pPr>
          </w:p>
          <w:p w14:paraId="1F2568A8" w14:textId="2125A1EF" w:rsidR="00C27FF5" w:rsidRDefault="00C27FF5" w:rsidP="00C27FF5">
            <w:pPr>
              <w:rPr>
                <w:rFonts w:cs="Arial"/>
                <w:b/>
              </w:rPr>
            </w:pPr>
            <w:r w:rsidRPr="0051745E">
              <w:rPr>
                <w:rFonts w:cs="Arial"/>
                <w:b/>
              </w:rPr>
              <w:t>FOR INFORMATION</w:t>
            </w:r>
          </w:p>
          <w:p w14:paraId="246DBE2E" w14:textId="77777777" w:rsidR="001A4CB5" w:rsidRDefault="001A4CB5" w:rsidP="00C27FF5">
            <w:pPr>
              <w:rPr>
                <w:rFonts w:cs="Arial"/>
                <w:b/>
              </w:rPr>
            </w:pPr>
          </w:p>
          <w:p w14:paraId="7B332CBA" w14:textId="077B68BD" w:rsidR="001A4CB5" w:rsidRDefault="001A4CB5" w:rsidP="00C27FF5"/>
        </w:tc>
      </w:tr>
    </w:tbl>
    <w:p w14:paraId="4CB34184" w14:textId="77777777" w:rsidR="001A4CB5" w:rsidRDefault="001A4CB5" w:rsidP="00A160B2">
      <w:pPr>
        <w:pStyle w:val="Heading2"/>
      </w:pPr>
    </w:p>
    <w:p w14:paraId="5FB4A03D" w14:textId="77777777" w:rsidR="001A4CB5" w:rsidRDefault="001A4CB5" w:rsidP="00A160B2">
      <w:pPr>
        <w:pStyle w:val="Heading2"/>
      </w:pPr>
    </w:p>
    <w:p w14:paraId="53DC7DE2" w14:textId="13E5532D" w:rsidR="002A2389" w:rsidRDefault="002A2389" w:rsidP="00A160B2">
      <w:pPr>
        <w:pStyle w:val="Heading2"/>
      </w:pPr>
      <w:r>
        <w:lastRenderedPageBreak/>
        <w:t>Section 2 – Report</w:t>
      </w:r>
    </w:p>
    <w:p w14:paraId="4CD638D8" w14:textId="74635305" w:rsidR="002A2389" w:rsidRDefault="002A2389">
      <w:pPr>
        <w:rPr>
          <w:b/>
          <w:bCs/>
          <w:color w:val="0000FF"/>
          <w:sz w:val="28"/>
        </w:rPr>
      </w:pPr>
    </w:p>
    <w:p w14:paraId="3FDFED6E" w14:textId="7B26CCF9" w:rsidR="002E0217" w:rsidRPr="002E0217" w:rsidRDefault="001E25EE" w:rsidP="005D3DF8">
      <w:pPr>
        <w:keepNext/>
        <w:spacing w:after="240"/>
        <w:jc w:val="both"/>
        <w:rPr>
          <w:rFonts w:cs="Arial"/>
          <w:b/>
          <w:szCs w:val="24"/>
          <w:bdr w:val="nil"/>
        </w:rPr>
      </w:pPr>
      <w:r>
        <w:rPr>
          <w:rFonts w:cs="Arial"/>
          <w:b/>
          <w:szCs w:val="24"/>
          <w:bdr w:val="nil"/>
        </w:rPr>
        <w:t>Background</w:t>
      </w:r>
    </w:p>
    <w:p w14:paraId="0CA45CF8" w14:textId="77777777" w:rsidR="002E0217" w:rsidRPr="002E0217" w:rsidRDefault="002E0217" w:rsidP="0050364B">
      <w:pPr>
        <w:numPr>
          <w:ilvl w:val="0"/>
          <w:numId w:val="21"/>
        </w:numPr>
        <w:autoSpaceDE w:val="0"/>
        <w:autoSpaceDN w:val="0"/>
        <w:adjustRightInd w:val="0"/>
        <w:ind w:left="284" w:hanging="568"/>
        <w:rPr>
          <w:rFonts w:cs="Arial"/>
          <w:szCs w:val="24"/>
          <w:lang w:eastAsia="en-GB"/>
        </w:rPr>
      </w:pPr>
      <w:r w:rsidRPr="002E0217">
        <w:rPr>
          <w:rFonts w:cs="Arial"/>
          <w:szCs w:val="24"/>
          <w:lang w:eastAsia="en-GB"/>
        </w:rPr>
        <w:t>The Localism Act 2011 requires Local Authorities to agree and publish an annual Pay Policy Statement.</w:t>
      </w:r>
    </w:p>
    <w:p w14:paraId="188F5EED" w14:textId="77777777" w:rsidR="002E0217" w:rsidRPr="002E0217" w:rsidRDefault="002E0217" w:rsidP="0050364B">
      <w:pPr>
        <w:autoSpaceDE w:val="0"/>
        <w:autoSpaceDN w:val="0"/>
        <w:adjustRightInd w:val="0"/>
        <w:ind w:left="284" w:hanging="568"/>
        <w:rPr>
          <w:rFonts w:cs="Arial"/>
          <w:szCs w:val="24"/>
          <w:lang w:eastAsia="en-GB"/>
        </w:rPr>
      </w:pPr>
    </w:p>
    <w:p w14:paraId="4F3972DA" w14:textId="77777777" w:rsidR="002E0217" w:rsidRPr="002E0217" w:rsidRDefault="002E0217" w:rsidP="0050364B">
      <w:pPr>
        <w:numPr>
          <w:ilvl w:val="0"/>
          <w:numId w:val="21"/>
        </w:numPr>
        <w:autoSpaceDE w:val="0"/>
        <w:autoSpaceDN w:val="0"/>
        <w:adjustRightInd w:val="0"/>
        <w:ind w:left="284" w:hanging="568"/>
        <w:rPr>
          <w:rFonts w:cs="Arial"/>
          <w:szCs w:val="24"/>
          <w:lang w:eastAsia="en-GB"/>
        </w:rPr>
      </w:pPr>
      <w:r w:rsidRPr="002E0217">
        <w:rPr>
          <w:rFonts w:cs="Arial"/>
          <w:szCs w:val="24"/>
          <w:lang w:eastAsia="en-GB"/>
        </w:rPr>
        <w:t>DCLG guidance (‘Openness and accountability in local pay: Guidance under section 40 of the Localism Act 2011’) states that that full Council should be asked to determine whether it wishes to vote on any remuneration package or payment on termination of employment amount to £100,000 or greater.</w:t>
      </w:r>
    </w:p>
    <w:p w14:paraId="69F7FD58" w14:textId="77777777" w:rsidR="002E0217" w:rsidRPr="002E0217" w:rsidRDefault="002E0217" w:rsidP="0050364B">
      <w:pPr>
        <w:autoSpaceDE w:val="0"/>
        <w:autoSpaceDN w:val="0"/>
        <w:adjustRightInd w:val="0"/>
        <w:ind w:left="284" w:hanging="568"/>
        <w:rPr>
          <w:rFonts w:cs="Arial"/>
          <w:szCs w:val="24"/>
          <w:lang w:eastAsia="en-GB"/>
        </w:rPr>
      </w:pPr>
    </w:p>
    <w:p w14:paraId="69BF053D" w14:textId="191C44B8" w:rsidR="002E0217" w:rsidRPr="002E0217" w:rsidRDefault="002E0217" w:rsidP="0050364B">
      <w:pPr>
        <w:numPr>
          <w:ilvl w:val="0"/>
          <w:numId w:val="21"/>
        </w:numPr>
        <w:autoSpaceDE w:val="0"/>
        <w:autoSpaceDN w:val="0"/>
        <w:adjustRightInd w:val="0"/>
        <w:ind w:left="284" w:hanging="568"/>
        <w:rPr>
          <w:rFonts w:cs="Arial"/>
          <w:szCs w:val="24"/>
          <w:lang w:eastAsia="en-GB"/>
        </w:rPr>
      </w:pPr>
      <w:r w:rsidRPr="002E0217">
        <w:rPr>
          <w:rFonts w:cs="Arial"/>
          <w:szCs w:val="24"/>
          <w:lang w:eastAsia="en-GB"/>
        </w:rPr>
        <w:t>The statutory guidance states: ‘Remuneration includes salary, expenses, bonuses, performance related pay, as well as contractual arrangements involving possible future severance payments</w:t>
      </w:r>
      <w:r w:rsidR="001A4CB5">
        <w:rPr>
          <w:rFonts w:cs="Arial"/>
          <w:szCs w:val="24"/>
          <w:lang w:eastAsia="en-GB"/>
        </w:rPr>
        <w:t>.</w:t>
      </w:r>
      <w:r w:rsidRPr="002E0217">
        <w:rPr>
          <w:rFonts w:cs="Arial"/>
          <w:szCs w:val="24"/>
          <w:lang w:eastAsia="en-GB"/>
        </w:rPr>
        <w:t>’  Authorities are required to take account of this guidance when preparing their pay policy statements.</w:t>
      </w:r>
    </w:p>
    <w:p w14:paraId="6038E10E" w14:textId="77777777" w:rsidR="002E0217" w:rsidRPr="002E0217" w:rsidRDefault="002E0217" w:rsidP="0050364B">
      <w:pPr>
        <w:autoSpaceDE w:val="0"/>
        <w:autoSpaceDN w:val="0"/>
        <w:adjustRightInd w:val="0"/>
        <w:ind w:left="284" w:hanging="568"/>
        <w:rPr>
          <w:rFonts w:cs="Arial"/>
          <w:szCs w:val="24"/>
          <w:lang w:eastAsia="en-GB"/>
        </w:rPr>
      </w:pPr>
    </w:p>
    <w:p w14:paraId="37C7B404" w14:textId="77777777" w:rsidR="0050364B" w:rsidRPr="0050364B" w:rsidRDefault="002E0217" w:rsidP="0050364B">
      <w:pPr>
        <w:numPr>
          <w:ilvl w:val="0"/>
          <w:numId w:val="21"/>
        </w:numPr>
        <w:autoSpaceDE w:val="0"/>
        <w:autoSpaceDN w:val="0"/>
        <w:adjustRightInd w:val="0"/>
        <w:ind w:left="284" w:hanging="568"/>
        <w:jc w:val="both"/>
        <w:rPr>
          <w:rFonts w:cs="Arial"/>
        </w:rPr>
      </w:pPr>
      <w:r w:rsidRPr="002E0217">
        <w:rPr>
          <w:rFonts w:cs="Arial"/>
          <w:szCs w:val="24"/>
          <w:lang w:eastAsia="en-GB"/>
        </w:rPr>
        <w:t xml:space="preserve">The Council delegates authority to the Chief Officers’ Employment Panel for determination of any </w:t>
      </w:r>
      <w:r w:rsidRPr="002E0217">
        <w:rPr>
          <w:rFonts w:cs="Arial"/>
          <w:szCs w:val="24"/>
        </w:rPr>
        <w:t>remuneration package of £100,000 or payment on termination of employment amount to £100,000 or greater. Council also agreed that a summary of any remuneration packages or payments on termination of employment amounting to £100,000 or greater approved by the Chief Officers’ Employment Panel be reported for information to full Council.</w:t>
      </w:r>
    </w:p>
    <w:p w14:paraId="0351D0B4" w14:textId="77777777" w:rsidR="0050364B" w:rsidRDefault="0050364B" w:rsidP="0050364B">
      <w:pPr>
        <w:pStyle w:val="ListParagraph"/>
        <w:ind w:left="284" w:hanging="568"/>
      </w:pPr>
    </w:p>
    <w:p w14:paraId="293592A8" w14:textId="769C9C1E" w:rsidR="0050364B" w:rsidRDefault="00730D1B" w:rsidP="0050364B">
      <w:pPr>
        <w:numPr>
          <w:ilvl w:val="0"/>
          <w:numId w:val="21"/>
        </w:numPr>
        <w:autoSpaceDE w:val="0"/>
        <w:autoSpaceDN w:val="0"/>
        <w:adjustRightInd w:val="0"/>
        <w:ind w:left="284" w:hanging="568"/>
        <w:jc w:val="both"/>
        <w:rPr>
          <w:rFonts w:cs="Arial"/>
        </w:rPr>
      </w:pPr>
      <w:r w:rsidRPr="0050364B">
        <w:rPr>
          <w:rFonts w:cs="Arial"/>
        </w:rPr>
        <w:t xml:space="preserve">Since the last report to Council, the Chief Officers’ Employment Panel has </w:t>
      </w:r>
      <w:r w:rsidRPr="0050364B">
        <w:rPr>
          <w:rFonts w:cs="Arial"/>
          <w:szCs w:val="24"/>
        </w:rPr>
        <w:t xml:space="preserve">approved </w:t>
      </w:r>
      <w:r w:rsidRPr="0050364B">
        <w:rPr>
          <w:rFonts w:cs="Arial"/>
        </w:rPr>
        <w:t>remuneration packages for the following</w:t>
      </w:r>
      <w:r w:rsidR="00291168">
        <w:rPr>
          <w:rFonts w:cs="Arial"/>
        </w:rPr>
        <w:t xml:space="preserve"> post</w:t>
      </w:r>
      <w:r w:rsidR="000224D8">
        <w:rPr>
          <w:rFonts w:cs="Arial"/>
        </w:rPr>
        <w:t>s</w:t>
      </w:r>
      <w:r w:rsidR="0050364B" w:rsidRPr="0050364B">
        <w:rPr>
          <w:rFonts w:cs="Arial"/>
        </w:rPr>
        <w:t>:</w:t>
      </w:r>
    </w:p>
    <w:p w14:paraId="29AE0121" w14:textId="77777777" w:rsidR="000224D8" w:rsidRPr="00794663" w:rsidRDefault="000224D8" w:rsidP="000224D8">
      <w:pPr>
        <w:pStyle w:val="ListParagraph"/>
        <w:rPr>
          <w:sz w:val="24"/>
          <w:szCs w:val="24"/>
        </w:rPr>
      </w:pPr>
    </w:p>
    <w:p w14:paraId="711E1239" w14:textId="59849C05" w:rsidR="000224D8" w:rsidRPr="00794663" w:rsidRDefault="008360BD" w:rsidP="008360BD">
      <w:pPr>
        <w:pStyle w:val="ListParagraph"/>
        <w:numPr>
          <w:ilvl w:val="0"/>
          <w:numId w:val="23"/>
        </w:numPr>
        <w:autoSpaceDE w:val="0"/>
        <w:autoSpaceDN w:val="0"/>
        <w:adjustRightInd w:val="0"/>
        <w:jc w:val="both"/>
        <w:rPr>
          <w:sz w:val="24"/>
          <w:szCs w:val="24"/>
        </w:rPr>
      </w:pPr>
      <w:r w:rsidRPr="00794663">
        <w:rPr>
          <w:sz w:val="24"/>
          <w:szCs w:val="24"/>
        </w:rPr>
        <w:t xml:space="preserve">Head of Change and Flexible Futures </w:t>
      </w:r>
      <w:r w:rsidR="00C03E0D" w:rsidRPr="00794663">
        <w:rPr>
          <w:sz w:val="24"/>
          <w:szCs w:val="24"/>
        </w:rPr>
        <w:t>–</w:t>
      </w:r>
      <w:r w:rsidR="00324EA6" w:rsidRPr="00794663">
        <w:rPr>
          <w:sz w:val="24"/>
          <w:szCs w:val="24"/>
        </w:rPr>
        <w:t xml:space="preserve"> Resources</w:t>
      </w:r>
      <w:r w:rsidR="00C03E0D" w:rsidRPr="00794663">
        <w:rPr>
          <w:sz w:val="24"/>
          <w:szCs w:val="24"/>
        </w:rPr>
        <w:t xml:space="preserve"> Directorate</w:t>
      </w:r>
    </w:p>
    <w:p w14:paraId="09EAD909" w14:textId="2AA271E7" w:rsidR="008360BD" w:rsidRPr="00794663" w:rsidRDefault="00C03E0D" w:rsidP="008360BD">
      <w:pPr>
        <w:pStyle w:val="ListParagraph"/>
        <w:numPr>
          <w:ilvl w:val="0"/>
          <w:numId w:val="23"/>
        </w:numPr>
        <w:autoSpaceDE w:val="0"/>
        <w:autoSpaceDN w:val="0"/>
        <w:adjustRightInd w:val="0"/>
        <w:jc w:val="both"/>
        <w:rPr>
          <w:sz w:val="24"/>
          <w:szCs w:val="24"/>
        </w:rPr>
      </w:pPr>
      <w:r w:rsidRPr="00794663">
        <w:rPr>
          <w:sz w:val="24"/>
          <w:szCs w:val="24"/>
        </w:rPr>
        <w:t>Team Leader – Children Services – People D</w:t>
      </w:r>
      <w:r w:rsidR="00AF35D7" w:rsidRPr="00794663">
        <w:rPr>
          <w:sz w:val="24"/>
          <w:szCs w:val="24"/>
        </w:rPr>
        <w:t>irectorate</w:t>
      </w:r>
    </w:p>
    <w:p w14:paraId="4CBEA896" w14:textId="77777777" w:rsidR="00E6102B" w:rsidRDefault="00E6102B" w:rsidP="00730D1B">
      <w:pPr>
        <w:jc w:val="both"/>
        <w:rPr>
          <w:szCs w:val="24"/>
        </w:rPr>
      </w:pPr>
    </w:p>
    <w:p w14:paraId="5689CB88" w14:textId="69551977" w:rsidR="00FE678A" w:rsidRPr="00B067CE" w:rsidRDefault="00965018" w:rsidP="00B067CE">
      <w:pPr>
        <w:pStyle w:val="ListParagraph"/>
        <w:keepNext/>
        <w:numPr>
          <w:ilvl w:val="0"/>
          <w:numId w:val="21"/>
        </w:numPr>
        <w:spacing w:after="240"/>
        <w:ind w:left="284" w:hanging="568"/>
        <w:jc w:val="both"/>
        <w:rPr>
          <w:b/>
          <w:bCs/>
          <w:szCs w:val="24"/>
        </w:rPr>
      </w:pPr>
      <w:r w:rsidRPr="00B067CE">
        <w:rPr>
          <w:b/>
          <w:szCs w:val="24"/>
          <w:bdr w:val="nil"/>
        </w:rPr>
        <w:t>The post of Head of Change and Flexible Futures</w:t>
      </w:r>
      <w:r w:rsidRPr="00B067CE">
        <w:rPr>
          <w:b/>
          <w:bCs/>
          <w:szCs w:val="24"/>
        </w:rPr>
        <w:t xml:space="preserve">  </w:t>
      </w:r>
    </w:p>
    <w:p w14:paraId="07908207" w14:textId="791E3C8A" w:rsidR="00677EE7" w:rsidRPr="00310A5A" w:rsidRDefault="00E6102B" w:rsidP="00B067CE">
      <w:pPr>
        <w:pStyle w:val="ListParagraph"/>
        <w:keepNext/>
        <w:spacing w:after="240"/>
        <w:ind w:left="284"/>
        <w:jc w:val="both"/>
        <w:rPr>
          <w:sz w:val="24"/>
          <w:szCs w:val="24"/>
        </w:rPr>
      </w:pPr>
      <w:r w:rsidRPr="00310A5A">
        <w:rPr>
          <w:sz w:val="24"/>
          <w:szCs w:val="24"/>
        </w:rPr>
        <w:t xml:space="preserve">On </w:t>
      </w:r>
      <w:r w:rsidR="00470047">
        <w:rPr>
          <w:sz w:val="24"/>
          <w:szCs w:val="24"/>
        </w:rPr>
        <w:t>27 July</w:t>
      </w:r>
      <w:r w:rsidRPr="00310A5A">
        <w:rPr>
          <w:sz w:val="24"/>
          <w:szCs w:val="24"/>
        </w:rPr>
        <w:t xml:space="preserve"> 2021 at the Chief Officers’ Employment Panel Members received a report from the Corporate Director of Resources which set out details of a new post of Head of Change and Flexible Futures and sought approval for a potential salary level over £100,000.</w:t>
      </w:r>
    </w:p>
    <w:p w14:paraId="27C14859" w14:textId="77777777" w:rsidR="00CC6E10" w:rsidRPr="00C7523C" w:rsidRDefault="00965018" w:rsidP="00965018">
      <w:pPr>
        <w:pStyle w:val="ListParagraph"/>
        <w:keepNext/>
        <w:numPr>
          <w:ilvl w:val="0"/>
          <w:numId w:val="21"/>
        </w:numPr>
        <w:spacing w:after="240"/>
        <w:ind w:left="284" w:hanging="568"/>
        <w:jc w:val="both"/>
        <w:rPr>
          <w:sz w:val="24"/>
          <w:szCs w:val="24"/>
        </w:rPr>
      </w:pPr>
      <w:r w:rsidRPr="00965018">
        <w:rPr>
          <w:sz w:val="24"/>
          <w:szCs w:val="24"/>
        </w:rPr>
        <w:t xml:space="preserve">The Corporate Director of Resources outlined the content of the report and explained that the matter was before Members as the role had been evaluated at D1, the salary band of which straddled £100,000 and therefore required the approval of the Panel. He advised that the postholder would lead the introduction of flexible futures, which was critically important to the Council, and augment further governance around project management. If successful at the ring-fenced interview, the additional cost to the Council of </w:t>
      </w:r>
      <w:r w:rsidRPr="00965018">
        <w:rPr>
          <w:sz w:val="24"/>
          <w:szCs w:val="24"/>
        </w:rPr>
        <w:lastRenderedPageBreak/>
        <w:t xml:space="preserve">appointing the current Head of Change to this role would be £18,000 over two years. </w:t>
      </w:r>
    </w:p>
    <w:p w14:paraId="1B14472C" w14:textId="688688B7" w:rsidR="00965018" w:rsidRDefault="00CC6E10" w:rsidP="00965018">
      <w:pPr>
        <w:pStyle w:val="ListParagraph"/>
        <w:keepNext/>
        <w:numPr>
          <w:ilvl w:val="0"/>
          <w:numId w:val="21"/>
        </w:numPr>
        <w:spacing w:after="240"/>
        <w:ind w:left="284" w:hanging="568"/>
        <w:jc w:val="both"/>
        <w:rPr>
          <w:sz w:val="24"/>
          <w:szCs w:val="24"/>
        </w:rPr>
      </w:pPr>
      <w:r w:rsidRPr="00C7523C">
        <w:rPr>
          <w:sz w:val="24"/>
          <w:szCs w:val="24"/>
        </w:rPr>
        <w:t>It was resolved t</w:t>
      </w:r>
      <w:r w:rsidR="00965018" w:rsidRPr="00C7523C">
        <w:rPr>
          <w:sz w:val="24"/>
          <w:szCs w:val="24"/>
        </w:rPr>
        <w:t xml:space="preserve">hat the post of Head of Change and Flexible Futures be allocated to the grade of D1, </w:t>
      </w:r>
      <w:r w:rsidR="00DD00AC" w:rsidRPr="00C7523C">
        <w:rPr>
          <w:sz w:val="24"/>
          <w:szCs w:val="24"/>
        </w:rPr>
        <w:t xml:space="preserve">of which </w:t>
      </w:r>
      <w:r w:rsidR="00965018" w:rsidRPr="00C7523C">
        <w:rPr>
          <w:sz w:val="24"/>
          <w:szCs w:val="24"/>
        </w:rPr>
        <w:t xml:space="preserve">the top point exceeded £100,000. </w:t>
      </w:r>
    </w:p>
    <w:p w14:paraId="3F5A3BC9" w14:textId="2BF88992" w:rsidR="00B6757B" w:rsidRPr="00D41018" w:rsidRDefault="00AF35D7" w:rsidP="00866C76">
      <w:pPr>
        <w:pStyle w:val="ListParagraph"/>
        <w:keepNext/>
        <w:numPr>
          <w:ilvl w:val="0"/>
          <w:numId w:val="21"/>
        </w:numPr>
        <w:spacing w:after="240"/>
        <w:ind w:left="284" w:hanging="568"/>
        <w:jc w:val="both"/>
        <w:rPr>
          <w:b/>
          <w:bCs/>
          <w:szCs w:val="24"/>
        </w:rPr>
      </w:pPr>
      <w:r w:rsidRPr="00D41018">
        <w:rPr>
          <w:b/>
          <w:bCs/>
          <w:sz w:val="24"/>
          <w:szCs w:val="24"/>
        </w:rPr>
        <w:t xml:space="preserve">The post of </w:t>
      </w:r>
      <w:r w:rsidR="00D34D7C" w:rsidRPr="00D41018">
        <w:rPr>
          <w:b/>
          <w:bCs/>
          <w:sz w:val="24"/>
          <w:szCs w:val="24"/>
        </w:rPr>
        <w:t>Team Manager – Children’s Services – People Directorate</w:t>
      </w:r>
    </w:p>
    <w:p w14:paraId="362E092A" w14:textId="5BF4F5A0" w:rsidR="00C14B55" w:rsidRDefault="00B73F85" w:rsidP="00B73F85">
      <w:pPr>
        <w:ind w:left="284"/>
        <w:jc w:val="both"/>
      </w:pPr>
      <w:r w:rsidRPr="00310A5A">
        <w:rPr>
          <w:szCs w:val="24"/>
        </w:rPr>
        <w:t xml:space="preserve">On </w:t>
      </w:r>
      <w:r>
        <w:rPr>
          <w:szCs w:val="24"/>
        </w:rPr>
        <w:t>27 July</w:t>
      </w:r>
      <w:r w:rsidRPr="00310A5A">
        <w:rPr>
          <w:szCs w:val="24"/>
        </w:rPr>
        <w:t xml:space="preserve"> 2021 at the Chief Officers’ Employment Panel Members received a report from the Corporate Director of </w:t>
      </w:r>
      <w:r>
        <w:rPr>
          <w:szCs w:val="24"/>
        </w:rPr>
        <w:t>People</w:t>
      </w:r>
      <w:r w:rsidRPr="00310A5A">
        <w:rPr>
          <w:szCs w:val="24"/>
        </w:rPr>
        <w:t xml:space="preserve"> which set out details of a </w:t>
      </w:r>
      <w:r w:rsidR="00B6757B">
        <w:t>severance payment to a Team Manager within Children’s Services</w:t>
      </w:r>
      <w:r w:rsidR="00794663">
        <w:t xml:space="preserve"> (see costs in in point 13).</w:t>
      </w:r>
      <w:r w:rsidR="00A85AEC">
        <w:t xml:space="preserve"> </w:t>
      </w:r>
      <w:r w:rsidR="00B6757B">
        <w:t xml:space="preserve">The post is graded as MG1 (£53,568.00 plus on costs). The statutory guidance states: ‘the components of relevant severance packages may include salary paid in lieu, redundancy compensation, pension entitlements, holiday pay and any bonuses, fees or allowances paid’. </w:t>
      </w:r>
    </w:p>
    <w:p w14:paraId="55DB6E50" w14:textId="77777777" w:rsidR="00B73F85" w:rsidRPr="00C14B55" w:rsidRDefault="00B73F85" w:rsidP="00B73F85">
      <w:pPr>
        <w:ind w:left="284"/>
        <w:jc w:val="both"/>
        <w:rPr>
          <w:sz w:val="28"/>
          <w:szCs w:val="22"/>
        </w:rPr>
      </w:pPr>
    </w:p>
    <w:p w14:paraId="018DC080" w14:textId="48A5F1F1" w:rsidR="00C14B55" w:rsidRPr="00C14B55" w:rsidRDefault="00C14B55" w:rsidP="00866C76">
      <w:pPr>
        <w:pStyle w:val="ListParagraph"/>
        <w:numPr>
          <w:ilvl w:val="0"/>
          <w:numId w:val="21"/>
        </w:numPr>
        <w:ind w:left="284" w:hanging="568"/>
        <w:jc w:val="both"/>
        <w:rPr>
          <w:sz w:val="24"/>
          <w:szCs w:val="28"/>
        </w:rPr>
      </w:pPr>
      <w:r w:rsidRPr="00C14B55">
        <w:rPr>
          <w:sz w:val="24"/>
          <w:szCs w:val="24"/>
        </w:rPr>
        <w:t>A significant proportion of the Council</w:t>
      </w:r>
      <w:r w:rsidR="00DD00AC">
        <w:rPr>
          <w:sz w:val="24"/>
          <w:szCs w:val="24"/>
        </w:rPr>
        <w:t>’s</w:t>
      </w:r>
      <w:r w:rsidRPr="00C14B55">
        <w:rPr>
          <w:sz w:val="24"/>
          <w:szCs w:val="24"/>
        </w:rPr>
        <w:t xml:space="preserve"> staff are members of the Local Government Pension Scheme and many have long pensionable service. </w:t>
      </w:r>
      <w:r>
        <w:rPr>
          <w:sz w:val="24"/>
          <w:szCs w:val="24"/>
        </w:rPr>
        <w:t xml:space="preserve"> </w:t>
      </w:r>
      <w:r w:rsidR="00B6757B" w:rsidRPr="00C14B55">
        <w:rPr>
          <w:sz w:val="24"/>
          <w:szCs w:val="24"/>
        </w:rPr>
        <w:t xml:space="preserve">Those aged 55 and over also have a statutory entitlement to payment of their pension benefits </w:t>
      </w:r>
      <w:r w:rsidR="00794663" w:rsidRPr="00C14B55">
        <w:rPr>
          <w:sz w:val="24"/>
          <w:szCs w:val="24"/>
        </w:rPr>
        <w:t>if</w:t>
      </w:r>
      <w:r w:rsidR="00B6757B" w:rsidRPr="00C14B55">
        <w:rPr>
          <w:sz w:val="24"/>
          <w:szCs w:val="24"/>
        </w:rPr>
        <w:t xml:space="preserve"> their employment is terminated on the grounds of redundancy or efficiency of the service. </w:t>
      </w:r>
    </w:p>
    <w:p w14:paraId="5145C954" w14:textId="77777777" w:rsidR="00581F32" w:rsidRPr="00581F32" w:rsidRDefault="00581F32" w:rsidP="00581F32">
      <w:pPr>
        <w:ind w:left="-284"/>
        <w:jc w:val="both"/>
        <w:rPr>
          <w:szCs w:val="28"/>
        </w:rPr>
      </w:pPr>
    </w:p>
    <w:p w14:paraId="4AE738C2" w14:textId="48457252" w:rsidR="00581F32" w:rsidRPr="00581F32" w:rsidRDefault="001A4CB5" w:rsidP="00866C76">
      <w:pPr>
        <w:pStyle w:val="ListParagraph"/>
        <w:numPr>
          <w:ilvl w:val="0"/>
          <w:numId w:val="21"/>
        </w:numPr>
        <w:ind w:left="284" w:hanging="568"/>
        <w:jc w:val="both"/>
        <w:rPr>
          <w:sz w:val="24"/>
          <w:szCs w:val="28"/>
        </w:rPr>
      </w:pPr>
      <w:r>
        <w:rPr>
          <w:sz w:val="24"/>
          <w:szCs w:val="24"/>
        </w:rPr>
        <w:t>T</w:t>
      </w:r>
      <w:r w:rsidR="00B6757B" w:rsidRPr="00C14B55">
        <w:rPr>
          <w:sz w:val="24"/>
          <w:szCs w:val="24"/>
        </w:rPr>
        <w:t>he</w:t>
      </w:r>
      <w:r w:rsidR="00F842EA">
        <w:rPr>
          <w:sz w:val="24"/>
          <w:szCs w:val="24"/>
        </w:rPr>
        <w:t xml:space="preserve">re has been a restructure within the Children’s Services team </w:t>
      </w:r>
      <w:r w:rsidR="00B6757B" w:rsidRPr="00C14B55">
        <w:rPr>
          <w:sz w:val="24"/>
          <w:szCs w:val="24"/>
        </w:rPr>
        <w:t xml:space="preserve">in order to improve and strengthen service delivery to looked-after children and young people. The restructure has been designed to implement best practice and is in response to Ofsted inspection recommendations, feedback from children and young people themselves, and messages from research about the importance of stability and transitions for young people. The restructure will build and strengthen capacity within the Corporate Parenting service, minimise changes of workers for children and young people, develop consistent decision-making and improve transitions for young people leaving care. </w:t>
      </w:r>
    </w:p>
    <w:p w14:paraId="2379352F" w14:textId="77777777" w:rsidR="00581F32" w:rsidRPr="00581F32" w:rsidRDefault="00581F32" w:rsidP="00581F32">
      <w:pPr>
        <w:pStyle w:val="ListParagraph"/>
        <w:rPr>
          <w:sz w:val="24"/>
          <w:szCs w:val="24"/>
        </w:rPr>
      </w:pPr>
    </w:p>
    <w:p w14:paraId="2FD2C22F" w14:textId="3D60461D" w:rsidR="00581F32" w:rsidRPr="00581F32" w:rsidRDefault="00B6757B" w:rsidP="00866C76">
      <w:pPr>
        <w:pStyle w:val="ListParagraph"/>
        <w:numPr>
          <w:ilvl w:val="0"/>
          <w:numId w:val="21"/>
        </w:numPr>
        <w:ind w:left="284" w:hanging="568"/>
        <w:jc w:val="both"/>
        <w:rPr>
          <w:sz w:val="24"/>
          <w:szCs w:val="28"/>
        </w:rPr>
      </w:pPr>
      <w:r w:rsidRPr="00C14B55">
        <w:rPr>
          <w:sz w:val="24"/>
          <w:szCs w:val="24"/>
        </w:rPr>
        <w:t>This approach was endorsed by cross-party support at the Corporate Parenting Panel. The new staffing structure will result in the deletion of 1 post to realign staffing to resources to fit within the new structure. The new structure is expected to be fully implemented from 1 October 2021.</w:t>
      </w:r>
    </w:p>
    <w:p w14:paraId="4370418B" w14:textId="77777777" w:rsidR="00581F32" w:rsidRPr="00794663" w:rsidRDefault="00581F32" w:rsidP="00581F32">
      <w:pPr>
        <w:pStyle w:val="ListParagraph"/>
        <w:rPr>
          <w:sz w:val="24"/>
          <w:szCs w:val="24"/>
        </w:rPr>
      </w:pPr>
    </w:p>
    <w:p w14:paraId="43CED6DE" w14:textId="0D1C53A0" w:rsidR="001A4CB5" w:rsidRPr="001A4CB5" w:rsidRDefault="001A4CB5" w:rsidP="001A4CB5">
      <w:pPr>
        <w:pStyle w:val="ListParagraph"/>
        <w:numPr>
          <w:ilvl w:val="0"/>
          <w:numId w:val="21"/>
        </w:numPr>
        <w:ind w:left="284" w:hanging="568"/>
        <w:jc w:val="both"/>
        <w:rPr>
          <w:szCs w:val="24"/>
        </w:rPr>
      </w:pPr>
      <w:r>
        <w:rPr>
          <w:sz w:val="24"/>
          <w:szCs w:val="24"/>
        </w:rPr>
        <w:t>A</w:t>
      </w:r>
      <w:r w:rsidRPr="00794663">
        <w:rPr>
          <w:sz w:val="24"/>
          <w:szCs w:val="24"/>
        </w:rPr>
        <w:t>s the value of the severance payment exceed</w:t>
      </w:r>
      <w:r>
        <w:rPr>
          <w:sz w:val="24"/>
          <w:szCs w:val="24"/>
        </w:rPr>
        <w:t>ed</w:t>
      </w:r>
      <w:r w:rsidRPr="00794663">
        <w:rPr>
          <w:sz w:val="24"/>
          <w:szCs w:val="24"/>
        </w:rPr>
        <w:t xml:space="preserve"> £100k </w:t>
      </w:r>
      <w:r w:rsidR="00B6757B" w:rsidRPr="00794663">
        <w:rPr>
          <w:sz w:val="24"/>
          <w:szCs w:val="24"/>
        </w:rPr>
        <w:t xml:space="preserve">agreement </w:t>
      </w:r>
      <w:r w:rsidR="00DE09C3" w:rsidRPr="00794663">
        <w:rPr>
          <w:sz w:val="24"/>
          <w:szCs w:val="24"/>
        </w:rPr>
        <w:t>from</w:t>
      </w:r>
      <w:r w:rsidR="00B6757B" w:rsidRPr="00794663">
        <w:rPr>
          <w:sz w:val="24"/>
          <w:szCs w:val="24"/>
        </w:rPr>
        <w:t xml:space="preserve"> the COEP </w:t>
      </w:r>
      <w:bookmarkStart w:id="2" w:name="_Hlk83204350"/>
      <w:r>
        <w:rPr>
          <w:sz w:val="24"/>
          <w:szCs w:val="24"/>
        </w:rPr>
        <w:t>was sought.</w:t>
      </w:r>
      <w:bookmarkEnd w:id="2"/>
    </w:p>
    <w:p w14:paraId="7115CC4D" w14:textId="77777777" w:rsidR="001A4CB5" w:rsidRPr="001A4CB5" w:rsidRDefault="001A4CB5" w:rsidP="001A4CB5">
      <w:pPr>
        <w:pStyle w:val="ListParagraph"/>
        <w:rPr>
          <w:szCs w:val="24"/>
        </w:rPr>
      </w:pPr>
    </w:p>
    <w:p w14:paraId="1E0FC8FE" w14:textId="6EB57ED0" w:rsidR="00B6757B" w:rsidRPr="00794663" w:rsidRDefault="001A4CB5" w:rsidP="001A4CB5">
      <w:pPr>
        <w:pStyle w:val="ListParagraph"/>
        <w:ind w:left="284"/>
        <w:jc w:val="both"/>
        <w:rPr>
          <w:szCs w:val="24"/>
        </w:rPr>
      </w:pPr>
      <w:r w:rsidRPr="00794663">
        <w:rPr>
          <w:szCs w:val="24"/>
        </w:rPr>
        <w:t xml:space="preserve"> </w:t>
      </w:r>
    </w:p>
    <w:p w14:paraId="1C4A477D" w14:textId="77777777" w:rsidR="002575B4" w:rsidRPr="002575B4" w:rsidRDefault="002575B4" w:rsidP="002575B4">
      <w:pPr>
        <w:jc w:val="both"/>
        <w:outlineLvl w:val="0"/>
        <w:rPr>
          <w:rFonts w:ascii="Arial Black" w:hAnsi="Arial Black" w:cs="Arial"/>
          <w:bCs/>
          <w:sz w:val="32"/>
          <w:szCs w:val="32"/>
        </w:rPr>
      </w:pPr>
      <w:r w:rsidRPr="002575B4">
        <w:rPr>
          <w:rFonts w:ascii="Arial Black" w:hAnsi="Arial Black" w:cs="Arial"/>
          <w:bCs/>
          <w:sz w:val="32"/>
          <w:szCs w:val="32"/>
        </w:rPr>
        <w:t>Section 3 – Financial Implications</w:t>
      </w:r>
    </w:p>
    <w:p w14:paraId="68A54AAB" w14:textId="77777777" w:rsidR="002575B4" w:rsidRPr="002575B4" w:rsidRDefault="002575B4" w:rsidP="002575B4"/>
    <w:p w14:paraId="282E6E2B" w14:textId="77777777" w:rsidR="002575B4" w:rsidRPr="002575B4" w:rsidRDefault="002575B4" w:rsidP="002575B4">
      <w:pPr>
        <w:rPr>
          <w:rFonts w:cs="Arial"/>
        </w:rPr>
      </w:pPr>
      <w:r w:rsidRPr="002575B4">
        <w:rPr>
          <w:rFonts w:cs="Arial"/>
        </w:rPr>
        <w:t>The financial implications of this report will be contained within current budget provision.’</w:t>
      </w:r>
    </w:p>
    <w:p w14:paraId="337FE274" w14:textId="77777777" w:rsidR="002575B4" w:rsidRPr="002575B4" w:rsidRDefault="002575B4" w:rsidP="002575B4"/>
    <w:p w14:paraId="4C1F58AD" w14:textId="77777777" w:rsidR="002575B4" w:rsidRPr="002575B4" w:rsidRDefault="002575B4" w:rsidP="002575B4">
      <w:pPr>
        <w:jc w:val="both"/>
        <w:rPr>
          <w:rFonts w:ascii="Arial Black" w:hAnsi="Arial Black"/>
          <w:sz w:val="32"/>
          <w:szCs w:val="32"/>
        </w:rPr>
      </w:pPr>
      <w:r w:rsidRPr="002575B4">
        <w:rPr>
          <w:rFonts w:ascii="Arial Black" w:hAnsi="Arial Black"/>
          <w:sz w:val="32"/>
          <w:szCs w:val="32"/>
        </w:rPr>
        <w:t>Section 4 – Equalities Implications</w:t>
      </w:r>
    </w:p>
    <w:p w14:paraId="6999CB33" w14:textId="77777777" w:rsidR="002575B4" w:rsidRPr="002575B4" w:rsidRDefault="002575B4" w:rsidP="002575B4">
      <w:pPr>
        <w:jc w:val="both"/>
        <w:rPr>
          <w:rFonts w:cs="Arial"/>
          <w:b/>
        </w:rPr>
      </w:pPr>
    </w:p>
    <w:p w14:paraId="4C154203" w14:textId="77777777" w:rsidR="002575B4" w:rsidRPr="002575B4" w:rsidRDefault="002575B4" w:rsidP="002575B4">
      <w:pPr>
        <w:jc w:val="both"/>
        <w:rPr>
          <w:rFonts w:cs="Arial"/>
          <w:szCs w:val="24"/>
        </w:rPr>
      </w:pPr>
      <w:r w:rsidRPr="002575B4">
        <w:rPr>
          <w:rFonts w:cs="Arial"/>
          <w:szCs w:val="24"/>
        </w:rPr>
        <w:t>Equality Impact Assessments, where appropriate, have been carried out and published.</w:t>
      </w:r>
    </w:p>
    <w:p w14:paraId="669248CD" w14:textId="77777777" w:rsidR="002575B4" w:rsidRPr="002575B4" w:rsidRDefault="002575B4" w:rsidP="002575B4">
      <w:pPr>
        <w:ind w:left="567"/>
        <w:jc w:val="both"/>
        <w:rPr>
          <w:rFonts w:cs="Arial"/>
          <w:szCs w:val="24"/>
        </w:rPr>
      </w:pPr>
    </w:p>
    <w:p w14:paraId="14FFC6E7" w14:textId="0620AE83" w:rsidR="002575B4" w:rsidRPr="002575B4" w:rsidRDefault="002575B4" w:rsidP="002575B4">
      <w:pPr>
        <w:keepNext/>
        <w:outlineLvl w:val="0"/>
        <w:rPr>
          <w:rFonts w:ascii="Arial Black" w:hAnsi="Arial Black" w:cs="Arial"/>
          <w:bCs/>
          <w:sz w:val="32"/>
          <w:szCs w:val="32"/>
        </w:rPr>
      </w:pPr>
      <w:r w:rsidRPr="002575B4">
        <w:rPr>
          <w:rFonts w:ascii="Arial Black" w:hAnsi="Arial Black" w:cs="Arial"/>
          <w:bCs/>
          <w:sz w:val="32"/>
          <w:szCs w:val="32"/>
        </w:rPr>
        <w:t>Section 5 - Statutory Officer Clearance</w:t>
      </w:r>
    </w:p>
    <w:p w14:paraId="0F106352" w14:textId="77777777" w:rsidR="002575B4" w:rsidRPr="002575B4" w:rsidRDefault="002575B4" w:rsidP="002575B4">
      <w:pPr>
        <w:keepNext/>
      </w:pPr>
    </w:p>
    <w:p w14:paraId="03DE5F86" w14:textId="77777777" w:rsidR="00470047" w:rsidRPr="00470047" w:rsidRDefault="00470047" w:rsidP="002575B4">
      <w:pPr>
        <w:rPr>
          <w:b/>
          <w:bCs/>
          <w:sz w:val="28"/>
          <w:szCs w:val="22"/>
        </w:rPr>
      </w:pPr>
      <w:r w:rsidRPr="00470047">
        <w:rPr>
          <w:b/>
          <w:bCs/>
          <w:sz w:val="28"/>
          <w:szCs w:val="22"/>
        </w:rPr>
        <w:t xml:space="preserve">Statutory Officer: Dawn Calvert </w:t>
      </w:r>
    </w:p>
    <w:p w14:paraId="05F3B8C5" w14:textId="77777777" w:rsidR="001A4CB5" w:rsidRDefault="00470047" w:rsidP="002575B4">
      <w:pPr>
        <w:rPr>
          <w:sz w:val="28"/>
          <w:szCs w:val="22"/>
        </w:rPr>
      </w:pPr>
      <w:r w:rsidRPr="00470047">
        <w:rPr>
          <w:sz w:val="28"/>
          <w:szCs w:val="22"/>
        </w:rPr>
        <w:t xml:space="preserve">Signed by the Chief Financial Officer </w:t>
      </w:r>
    </w:p>
    <w:p w14:paraId="1EE6BD80" w14:textId="77777777" w:rsidR="001A4CB5" w:rsidRDefault="001A4CB5" w:rsidP="002575B4">
      <w:pPr>
        <w:rPr>
          <w:sz w:val="28"/>
          <w:szCs w:val="22"/>
        </w:rPr>
      </w:pPr>
    </w:p>
    <w:p w14:paraId="6981198C" w14:textId="37EC006F" w:rsidR="00470047" w:rsidRPr="00470047" w:rsidRDefault="00470047" w:rsidP="002575B4">
      <w:pPr>
        <w:rPr>
          <w:sz w:val="28"/>
          <w:szCs w:val="22"/>
        </w:rPr>
      </w:pPr>
      <w:r w:rsidRPr="00470047">
        <w:rPr>
          <w:sz w:val="28"/>
          <w:szCs w:val="22"/>
        </w:rPr>
        <w:t xml:space="preserve">Date: </w:t>
      </w:r>
      <w:r w:rsidR="001A4CB5">
        <w:rPr>
          <w:sz w:val="28"/>
          <w:szCs w:val="22"/>
        </w:rPr>
        <w:t>22 September 2021</w:t>
      </w:r>
    </w:p>
    <w:p w14:paraId="01D8BF39" w14:textId="77777777" w:rsidR="00470047" w:rsidRDefault="00470047" w:rsidP="002575B4"/>
    <w:p w14:paraId="4C13E329" w14:textId="2C459C1A" w:rsidR="00470047" w:rsidRPr="00470047" w:rsidRDefault="00470047" w:rsidP="002575B4">
      <w:pPr>
        <w:rPr>
          <w:b/>
          <w:bCs/>
          <w:sz w:val="28"/>
          <w:szCs w:val="22"/>
        </w:rPr>
      </w:pPr>
      <w:r w:rsidRPr="00470047">
        <w:rPr>
          <w:b/>
          <w:bCs/>
          <w:sz w:val="28"/>
          <w:szCs w:val="22"/>
        </w:rPr>
        <w:t xml:space="preserve">Statutory Officer: </w:t>
      </w:r>
      <w:r w:rsidR="00ED481C">
        <w:rPr>
          <w:b/>
          <w:bCs/>
          <w:sz w:val="28"/>
          <w:szCs w:val="22"/>
        </w:rPr>
        <w:t>Hugh Peart</w:t>
      </w:r>
      <w:r w:rsidRPr="00470047">
        <w:rPr>
          <w:b/>
          <w:bCs/>
          <w:sz w:val="28"/>
          <w:szCs w:val="22"/>
        </w:rPr>
        <w:t xml:space="preserve"> </w:t>
      </w:r>
    </w:p>
    <w:p w14:paraId="09D50086" w14:textId="73D98288" w:rsidR="00470047" w:rsidRDefault="00470047" w:rsidP="002575B4">
      <w:pPr>
        <w:rPr>
          <w:sz w:val="28"/>
          <w:szCs w:val="22"/>
        </w:rPr>
      </w:pPr>
      <w:r w:rsidRPr="00470047">
        <w:rPr>
          <w:sz w:val="28"/>
          <w:szCs w:val="22"/>
        </w:rPr>
        <w:t xml:space="preserve">Signed on behalf of the Monitoring Officer Date: </w:t>
      </w:r>
    </w:p>
    <w:p w14:paraId="7A717DEF" w14:textId="6EF934A1" w:rsidR="001A4CB5" w:rsidRDefault="001A4CB5" w:rsidP="002575B4">
      <w:pPr>
        <w:rPr>
          <w:sz w:val="28"/>
          <w:szCs w:val="22"/>
        </w:rPr>
      </w:pPr>
    </w:p>
    <w:p w14:paraId="6964F999" w14:textId="4FB86ACE" w:rsidR="001A4CB5" w:rsidRPr="00470047" w:rsidRDefault="001A4CB5" w:rsidP="002575B4">
      <w:pPr>
        <w:rPr>
          <w:sz w:val="28"/>
          <w:szCs w:val="22"/>
        </w:rPr>
      </w:pPr>
      <w:r>
        <w:rPr>
          <w:sz w:val="28"/>
          <w:szCs w:val="22"/>
        </w:rPr>
        <w:t>Date: 22 September 2021</w:t>
      </w:r>
    </w:p>
    <w:p w14:paraId="1307F00D" w14:textId="77777777" w:rsidR="00470047" w:rsidRDefault="00470047" w:rsidP="002575B4"/>
    <w:p w14:paraId="4C85E239" w14:textId="77777777" w:rsidR="00470047" w:rsidRDefault="00470047" w:rsidP="00470047">
      <w:pPr>
        <w:ind w:left="-142"/>
        <w:outlineLvl w:val="0"/>
        <w:rPr>
          <w:rFonts w:ascii="Arial Black" w:hAnsi="Arial Black" w:cs="Arial"/>
          <w:bCs/>
          <w:sz w:val="32"/>
          <w:szCs w:val="32"/>
        </w:rPr>
      </w:pPr>
    </w:p>
    <w:p w14:paraId="22C5C3AC" w14:textId="450ADB25" w:rsidR="008C46C2" w:rsidRPr="008C46C2" w:rsidRDefault="008C46C2" w:rsidP="00470047">
      <w:pPr>
        <w:ind w:left="-142"/>
        <w:outlineLvl w:val="0"/>
        <w:rPr>
          <w:rFonts w:ascii="Arial Black" w:hAnsi="Arial Black" w:cs="Arial"/>
          <w:bCs/>
          <w:sz w:val="32"/>
          <w:szCs w:val="32"/>
        </w:rPr>
      </w:pPr>
      <w:r w:rsidRPr="008C46C2">
        <w:rPr>
          <w:rFonts w:ascii="Arial Black" w:hAnsi="Arial Black" w:cs="Arial"/>
          <w:bCs/>
          <w:sz w:val="32"/>
          <w:szCs w:val="32"/>
        </w:rPr>
        <w:t>Section 6 - Contact Details and Background Papers</w:t>
      </w:r>
    </w:p>
    <w:p w14:paraId="6ABD23E1" w14:textId="77777777" w:rsidR="000465F1" w:rsidRDefault="000465F1" w:rsidP="00470047">
      <w:pPr>
        <w:rPr>
          <w:rFonts w:cs="Arial"/>
        </w:rPr>
      </w:pPr>
    </w:p>
    <w:p w14:paraId="7BFB10F8" w14:textId="25F67CAE" w:rsidR="008C46C2" w:rsidRPr="000465F1" w:rsidRDefault="008C46C2" w:rsidP="000465F1">
      <w:pPr>
        <w:ind w:left="-142"/>
        <w:rPr>
          <w:sz w:val="28"/>
          <w:szCs w:val="22"/>
        </w:rPr>
      </w:pPr>
      <w:r w:rsidRPr="000465F1">
        <w:rPr>
          <w:b/>
          <w:bCs/>
          <w:sz w:val="28"/>
          <w:szCs w:val="22"/>
        </w:rPr>
        <w:t>Contact: Tracey Connage, Director of HR&amp;OD</w:t>
      </w:r>
      <w:r w:rsidR="00551338" w:rsidRPr="000465F1">
        <w:rPr>
          <w:b/>
          <w:bCs/>
          <w:sz w:val="28"/>
          <w:szCs w:val="22"/>
        </w:rPr>
        <w:t xml:space="preserve"> – </w:t>
      </w:r>
      <w:r w:rsidR="00551338" w:rsidRPr="000465F1">
        <w:rPr>
          <w:sz w:val="28"/>
          <w:szCs w:val="22"/>
        </w:rPr>
        <w:t>tracey</w:t>
      </w:r>
      <w:r w:rsidR="001A4CB5">
        <w:rPr>
          <w:sz w:val="28"/>
          <w:szCs w:val="22"/>
        </w:rPr>
        <w:t>.</w:t>
      </w:r>
      <w:r w:rsidR="00551338" w:rsidRPr="000465F1">
        <w:rPr>
          <w:sz w:val="28"/>
          <w:szCs w:val="22"/>
        </w:rPr>
        <w:t>connage@harrow.gov.uk</w:t>
      </w:r>
    </w:p>
    <w:p w14:paraId="1189647D" w14:textId="77777777" w:rsidR="00551338" w:rsidRPr="008C46C2" w:rsidRDefault="00551338" w:rsidP="00470047">
      <w:pPr>
        <w:rPr>
          <w:szCs w:val="24"/>
        </w:rPr>
      </w:pPr>
    </w:p>
    <w:p w14:paraId="0AEE6AC4" w14:textId="77777777" w:rsidR="008C46C2" w:rsidRPr="008C46C2" w:rsidRDefault="008C46C2" w:rsidP="00470047">
      <w:pPr>
        <w:ind w:left="-567"/>
        <w:rPr>
          <w:szCs w:val="24"/>
        </w:rPr>
      </w:pPr>
    </w:p>
    <w:p w14:paraId="77828970" w14:textId="77777777" w:rsidR="008C46C2" w:rsidRPr="008C46C2" w:rsidRDefault="008C46C2" w:rsidP="000465F1">
      <w:pPr>
        <w:ind w:left="-142"/>
        <w:rPr>
          <w:sz w:val="28"/>
        </w:rPr>
      </w:pPr>
      <w:r w:rsidRPr="008C46C2">
        <w:rPr>
          <w:b/>
          <w:sz w:val="28"/>
        </w:rPr>
        <w:t>Background Papers</w:t>
      </w:r>
      <w:r w:rsidRPr="008C46C2">
        <w:rPr>
          <w:sz w:val="28"/>
        </w:rPr>
        <w:t>:</w:t>
      </w:r>
    </w:p>
    <w:p w14:paraId="65DF7C48" w14:textId="77777777" w:rsidR="008C46C2" w:rsidRPr="008C46C2" w:rsidRDefault="008C46C2" w:rsidP="000465F1">
      <w:pPr>
        <w:ind w:left="-142"/>
        <w:rPr>
          <w:sz w:val="28"/>
        </w:rPr>
      </w:pPr>
    </w:p>
    <w:p w14:paraId="74951495" w14:textId="4EC000DB" w:rsidR="008C46C2" w:rsidRPr="008C46C2" w:rsidRDefault="00F842EA" w:rsidP="000465F1">
      <w:pPr>
        <w:ind w:left="-142"/>
      </w:pPr>
      <w:r>
        <w:rPr>
          <w:rFonts w:cs="Arial"/>
          <w:szCs w:val="24"/>
        </w:rPr>
        <w:t>Public r</w:t>
      </w:r>
      <w:r w:rsidR="008C46C2" w:rsidRPr="008C46C2">
        <w:rPr>
          <w:rFonts w:cs="Arial"/>
          <w:szCs w:val="24"/>
        </w:rPr>
        <w:t>eport to the Chief Officers’ Employment Panel</w:t>
      </w:r>
      <w:r w:rsidR="00F31F7B">
        <w:rPr>
          <w:rFonts w:cs="Arial"/>
          <w:szCs w:val="24"/>
        </w:rPr>
        <w:t xml:space="preserve"> </w:t>
      </w:r>
      <w:r w:rsidR="00470047">
        <w:rPr>
          <w:rFonts w:cs="Arial"/>
          <w:szCs w:val="24"/>
        </w:rPr>
        <w:t>27 July 2021</w:t>
      </w:r>
      <w:r w:rsidR="005D3DF8">
        <w:rPr>
          <w:rFonts w:cs="Arial"/>
          <w:szCs w:val="24"/>
        </w:rPr>
        <w:t>.</w:t>
      </w:r>
      <w:r w:rsidR="008C46C2" w:rsidRPr="008C46C2">
        <w:rPr>
          <w:rFonts w:cs="Arial"/>
          <w:szCs w:val="24"/>
        </w:rPr>
        <w:t xml:space="preserve"> </w:t>
      </w:r>
    </w:p>
    <w:p w14:paraId="1C412F5C" w14:textId="77777777" w:rsidR="003D2FFE" w:rsidRPr="00421A4C" w:rsidRDefault="003D2FFE" w:rsidP="000465F1">
      <w:pPr>
        <w:ind w:left="-142"/>
        <w:rPr>
          <w:color w:val="FF0000"/>
        </w:rPr>
      </w:pPr>
    </w:p>
    <w:sectPr w:rsidR="003D2FFE" w:rsidRPr="00421A4C"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AFE6D" w14:textId="77777777" w:rsidR="00866C76" w:rsidRDefault="00866C76">
      <w:r>
        <w:separator/>
      </w:r>
    </w:p>
  </w:endnote>
  <w:endnote w:type="continuationSeparator" w:id="0">
    <w:p w14:paraId="7ADC8215" w14:textId="77777777" w:rsidR="00866C76" w:rsidRDefault="0086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07485" w14:textId="77777777" w:rsidR="00866C76" w:rsidRDefault="00866C76">
      <w:r>
        <w:separator/>
      </w:r>
    </w:p>
  </w:footnote>
  <w:footnote w:type="continuationSeparator" w:id="0">
    <w:p w14:paraId="560A9CC1" w14:textId="77777777" w:rsidR="00866C76" w:rsidRDefault="00866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C24F01"/>
    <w:multiLevelType w:val="hybridMultilevel"/>
    <w:tmpl w:val="57FCF2A4"/>
    <w:lvl w:ilvl="0" w:tplc="F5E4BAC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E409D7"/>
    <w:multiLevelType w:val="multilevel"/>
    <w:tmpl w:val="194014F0"/>
    <w:lvl w:ilvl="0">
      <w:start w:val="81"/>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DE409D8"/>
    <w:multiLevelType w:val="multilevel"/>
    <w:tmpl w:val="194014F0"/>
    <w:lvl w:ilvl="0">
      <w:start w:val="82"/>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DE409D9"/>
    <w:multiLevelType w:val="multilevel"/>
    <w:tmpl w:val="194014F0"/>
    <w:lvl w:ilvl="0">
      <w:start w:val="83"/>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12273"/>
    <w:multiLevelType w:val="hybridMultilevel"/>
    <w:tmpl w:val="A1FA87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3"/>
  </w:num>
  <w:num w:numId="10">
    <w:abstractNumId w:val="12"/>
  </w:num>
  <w:num w:numId="11">
    <w:abstractNumId w:val="21"/>
  </w:num>
  <w:num w:numId="12">
    <w:abstractNumId w:val="11"/>
  </w:num>
  <w:num w:numId="13">
    <w:abstractNumId w:val="2"/>
  </w:num>
  <w:num w:numId="14">
    <w:abstractNumId w:val="5"/>
  </w:num>
  <w:num w:numId="15">
    <w:abstractNumId w:val="9"/>
  </w:num>
  <w:num w:numId="16">
    <w:abstractNumId w:val="8"/>
  </w:num>
  <w:num w:numId="17">
    <w:abstractNumId w:val="19"/>
  </w:num>
  <w:num w:numId="18">
    <w:abstractNumId w:val="16"/>
  </w:num>
  <w:num w:numId="19">
    <w:abstractNumId w:val="17"/>
  </w:num>
  <w:num w:numId="20">
    <w:abstractNumId w:val="18"/>
  </w:num>
  <w:num w:numId="21">
    <w:abstractNumId w:val="15"/>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24D8"/>
    <w:rsid w:val="00023F4C"/>
    <w:rsid w:val="000465F1"/>
    <w:rsid w:val="00057F10"/>
    <w:rsid w:val="000633A2"/>
    <w:rsid w:val="00071EB4"/>
    <w:rsid w:val="00077298"/>
    <w:rsid w:val="000A58A1"/>
    <w:rsid w:val="000A6659"/>
    <w:rsid w:val="000B0E6F"/>
    <w:rsid w:val="000B6DBB"/>
    <w:rsid w:val="000D1776"/>
    <w:rsid w:val="000D2BF2"/>
    <w:rsid w:val="000D5870"/>
    <w:rsid w:val="000F65C0"/>
    <w:rsid w:val="00172320"/>
    <w:rsid w:val="001939BA"/>
    <w:rsid w:val="001A4CB5"/>
    <w:rsid w:val="001A6EB0"/>
    <w:rsid w:val="001B441D"/>
    <w:rsid w:val="001C272D"/>
    <w:rsid w:val="001C5225"/>
    <w:rsid w:val="001C6AD4"/>
    <w:rsid w:val="001E0219"/>
    <w:rsid w:val="001E25EE"/>
    <w:rsid w:val="00213BE7"/>
    <w:rsid w:val="00231A1D"/>
    <w:rsid w:val="00244120"/>
    <w:rsid w:val="002575B4"/>
    <w:rsid w:val="00291168"/>
    <w:rsid w:val="00293F9F"/>
    <w:rsid w:val="002A2389"/>
    <w:rsid w:val="002C08E2"/>
    <w:rsid w:val="002C1794"/>
    <w:rsid w:val="002D2FC5"/>
    <w:rsid w:val="002E0217"/>
    <w:rsid w:val="002E6637"/>
    <w:rsid w:val="002E77E3"/>
    <w:rsid w:val="00310A5A"/>
    <w:rsid w:val="00324EA6"/>
    <w:rsid w:val="00332947"/>
    <w:rsid w:val="00333EB4"/>
    <w:rsid w:val="0034039F"/>
    <w:rsid w:val="00345915"/>
    <w:rsid w:val="003600C4"/>
    <w:rsid w:val="00365D29"/>
    <w:rsid w:val="00374F22"/>
    <w:rsid w:val="003D2FFE"/>
    <w:rsid w:val="003D7EB0"/>
    <w:rsid w:val="00400032"/>
    <w:rsid w:val="0042394B"/>
    <w:rsid w:val="00470047"/>
    <w:rsid w:val="00473B08"/>
    <w:rsid w:val="00474B5F"/>
    <w:rsid w:val="004A3CE6"/>
    <w:rsid w:val="004A4A1D"/>
    <w:rsid w:val="004B2C9D"/>
    <w:rsid w:val="004B4A47"/>
    <w:rsid w:val="004E667D"/>
    <w:rsid w:val="004E6AF9"/>
    <w:rsid w:val="005031DF"/>
    <w:rsid w:val="0050364B"/>
    <w:rsid w:val="00551338"/>
    <w:rsid w:val="00556B1F"/>
    <w:rsid w:val="00570F59"/>
    <w:rsid w:val="00581F32"/>
    <w:rsid w:val="00597314"/>
    <w:rsid w:val="005A61AF"/>
    <w:rsid w:val="005B4C52"/>
    <w:rsid w:val="005D0886"/>
    <w:rsid w:val="005D3DF8"/>
    <w:rsid w:val="005E384D"/>
    <w:rsid w:val="005F2181"/>
    <w:rsid w:val="005F724B"/>
    <w:rsid w:val="00613B7D"/>
    <w:rsid w:val="00625DFF"/>
    <w:rsid w:val="0063072B"/>
    <w:rsid w:val="00662891"/>
    <w:rsid w:val="006628B7"/>
    <w:rsid w:val="006756AA"/>
    <w:rsid w:val="00675FCB"/>
    <w:rsid w:val="00677EE7"/>
    <w:rsid w:val="006A0B87"/>
    <w:rsid w:val="006B03B8"/>
    <w:rsid w:val="006B0854"/>
    <w:rsid w:val="006B3942"/>
    <w:rsid w:val="006C2FA8"/>
    <w:rsid w:val="006C3914"/>
    <w:rsid w:val="006D3648"/>
    <w:rsid w:val="00730D1B"/>
    <w:rsid w:val="0074184E"/>
    <w:rsid w:val="00742B47"/>
    <w:rsid w:val="00743829"/>
    <w:rsid w:val="00754D06"/>
    <w:rsid w:val="00755F8D"/>
    <w:rsid w:val="00794663"/>
    <w:rsid w:val="00796503"/>
    <w:rsid w:val="007D2BDA"/>
    <w:rsid w:val="007D56C8"/>
    <w:rsid w:val="007E3934"/>
    <w:rsid w:val="007E7303"/>
    <w:rsid w:val="008212A0"/>
    <w:rsid w:val="008360BD"/>
    <w:rsid w:val="00837F53"/>
    <w:rsid w:val="00866C76"/>
    <w:rsid w:val="008C46C2"/>
    <w:rsid w:val="008D1750"/>
    <w:rsid w:val="008D7800"/>
    <w:rsid w:val="008E2910"/>
    <w:rsid w:val="008E4913"/>
    <w:rsid w:val="00900464"/>
    <w:rsid w:val="0090100E"/>
    <w:rsid w:val="00907D8A"/>
    <w:rsid w:val="00912904"/>
    <w:rsid w:val="0093767E"/>
    <w:rsid w:val="00965018"/>
    <w:rsid w:val="00972A02"/>
    <w:rsid w:val="0099517C"/>
    <w:rsid w:val="009A0937"/>
    <w:rsid w:val="009B2ECD"/>
    <w:rsid w:val="009B7914"/>
    <w:rsid w:val="009E7069"/>
    <w:rsid w:val="009F430B"/>
    <w:rsid w:val="00A160B2"/>
    <w:rsid w:val="00A37235"/>
    <w:rsid w:val="00A566E7"/>
    <w:rsid w:val="00A85AEC"/>
    <w:rsid w:val="00A940D3"/>
    <w:rsid w:val="00A96FCA"/>
    <w:rsid w:val="00AA4BE8"/>
    <w:rsid w:val="00AC06CB"/>
    <w:rsid w:val="00AC0AAB"/>
    <w:rsid w:val="00AC7BA9"/>
    <w:rsid w:val="00AF35D7"/>
    <w:rsid w:val="00B002C7"/>
    <w:rsid w:val="00B0425E"/>
    <w:rsid w:val="00B067CE"/>
    <w:rsid w:val="00B477C5"/>
    <w:rsid w:val="00B6757B"/>
    <w:rsid w:val="00B73F85"/>
    <w:rsid w:val="00B900E2"/>
    <w:rsid w:val="00B9118E"/>
    <w:rsid w:val="00BA35EA"/>
    <w:rsid w:val="00BD6115"/>
    <w:rsid w:val="00BD684A"/>
    <w:rsid w:val="00C03E0D"/>
    <w:rsid w:val="00C14B55"/>
    <w:rsid w:val="00C27FF5"/>
    <w:rsid w:val="00C32DAE"/>
    <w:rsid w:val="00C40E24"/>
    <w:rsid w:val="00C61B80"/>
    <w:rsid w:val="00C7523C"/>
    <w:rsid w:val="00C92D9A"/>
    <w:rsid w:val="00C96EF5"/>
    <w:rsid w:val="00CA2FBC"/>
    <w:rsid w:val="00CB6F07"/>
    <w:rsid w:val="00CC6E10"/>
    <w:rsid w:val="00D25064"/>
    <w:rsid w:val="00D32B51"/>
    <w:rsid w:val="00D34668"/>
    <w:rsid w:val="00D34D7C"/>
    <w:rsid w:val="00D3740E"/>
    <w:rsid w:val="00D40335"/>
    <w:rsid w:val="00D41018"/>
    <w:rsid w:val="00D82F57"/>
    <w:rsid w:val="00D841A5"/>
    <w:rsid w:val="00D914D2"/>
    <w:rsid w:val="00D9484E"/>
    <w:rsid w:val="00DA25DB"/>
    <w:rsid w:val="00DB0791"/>
    <w:rsid w:val="00DC321C"/>
    <w:rsid w:val="00DD00AC"/>
    <w:rsid w:val="00DD4251"/>
    <w:rsid w:val="00DE09C3"/>
    <w:rsid w:val="00E0057C"/>
    <w:rsid w:val="00E02B50"/>
    <w:rsid w:val="00E03F11"/>
    <w:rsid w:val="00E06DC8"/>
    <w:rsid w:val="00E220B5"/>
    <w:rsid w:val="00E33D93"/>
    <w:rsid w:val="00E55414"/>
    <w:rsid w:val="00E609EF"/>
    <w:rsid w:val="00E6102B"/>
    <w:rsid w:val="00E8515B"/>
    <w:rsid w:val="00E90AFF"/>
    <w:rsid w:val="00E97797"/>
    <w:rsid w:val="00EA4B57"/>
    <w:rsid w:val="00EA722F"/>
    <w:rsid w:val="00ED481C"/>
    <w:rsid w:val="00EF2F91"/>
    <w:rsid w:val="00F31F7B"/>
    <w:rsid w:val="00F33EE3"/>
    <w:rsid w:val="00F4213B"/>
    <w:rsid w:val="00F842EA"/>
    <w:rsid w:val="00F849ED"/>
    <w:rsid w:val="00F92398"/>
    <w:rsid w:val="00FD31A0"/>
    <w:rsid w:val="00FE678A"/>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E5ED5E"/>
  <w15:docId w15:val="{9B20D1FC-37A1-4280-B6CD-CDEE05B0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link w:val="Heading1Char"/>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character" w:customStyle="1" w:styleId="Heading1Char">
    <w:name w:val="Heading 1 Char"/>
    <w:basedOn w:val="DefaultParagraphFont"/>
    <w:link w:val="Heading1"/>
    <w:rsid w:val="00C27FF5"/>
    <w:rPr>
      <w:rFonts w:ascii="Arial Black" w:hAnsi="Arial Black" w:cs="Arial"/>
      <w:b/>
      <w:bCs/>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337003850">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83769046">
                      <w:marLeft w:val="0"/>
                      <w:marRight w:val="0"/>
                      <w:marTop w:val="0"/>
                      <w:marBottom w:val="0"/>
                      <w:divBdr>
                        <w:top w:val="none" w:sz="0" w:space="0" w:color="auto"/>
                        <w:left w:val="none" w:sz="0" w:space="0" w:color="auto"/>
                        <w:bottom w:val="none" w:sz="0" w:space="0" w:color="auto"/>
                        <w:right w:val="none" w:sz="0" w:space="0" w:color="auto"/>
                      </w:divBdr>
                    </w:div>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4404">
          <w:marLeft w:val="0"/>
          <w:marRight w:val="0"/>
          <w:marTop w:val="0"/>
          <w:marBottom w:val="0"/>
          <w:divBdr>
            <w:top w:val="none" w:sz="0" w:space="0" w:color="auto"/>
            <w:left w:val="none" w:sz="0" w:space="0" w:color="auto"/>
            <w:bottom w:val="none" w:sz="0" w:space="0" w:color="auto"/>
            <w:right w:val="none" w:sz="0" w:space="0" w:color="auto"/>
          </w:divBdr>
        </w:div>
        <w:div w:id="850028631">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850</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5623</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Alison Atherton</cp:lastModifiedBy>
  <cp:revision>1</cp:revision>
  <cp:lastPrinted>2007-07-12T09:53:00Z</cp:lastPrinted>
  <dcterms:created xsi:type="dcterms:W3CDTF">2021-09-22T11:07:00Z</dcterms:created>
  <dcterms:modified xsi:type="dcterms:W3CDTF">2021-09-22T12:25:00Z</dcterms:modified>
</cp:coreProperties>
</file>